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rPr>
      </w:pPr>
      <w:r>
        <w:rPr>
          <w:rFonts w:hint="eastAsia" w:ascii="黑体" w:eastAsia="黑体"/>
          <w:sz w:val="32"/>
        </w:rPr>
        <w:t>附件2</w:t>
      </w:r>
    </w:p>
    <w:p>
      <w:pPr>
        <w:pStyle w:val="4"/>
        <w:snapToGrid w:val="0"/>
        <w:spacing w:line="600" w:lineRule="exact"/>
        <w:jc w:val="center"/>
        <w:textAlignment w:val="baseline"/>
        <w:rPr>
          <w:rFonts w:hint="eastAsia" w:ascii="方正小标宋简体" w:eastAsia="方正小标宋简体"/>
          <w:sz w:val="36"/>
          <w:szCs w:val="36"/>
        </w:rPr>
      </w:pPr>
      <w:r>
        <w:rPr>
          <w:rFonts w:hint="eastAsia" w:ascii="方正小标宋简体" w:eastAsia="方正小标宋简体"/>
          <w:sz w:val="36"/>
          <w:szCs w:val="36"/>
        </w:rPr>
        <w:t>福建省“安康杯”竞赛考核评分表</w:t>
      </w:r>
    </w:p>
    <w:p>
      <w:pPr>
        <w:pStyle w:val="4"/>
        <w:snapToGrid w:val="0"/>
        <w:spacing w:line="600" w:lineRule="exact"/>
        <w:jc w:val="center"/>
        <w:textAlignment w:val="baseline"/>
        <w:rPr>
          <w:rFonts w:hint="eastAsia" w:ascii="方正小标宋简体" w:eastAsia="方正小标宋简体"/>
          <w:sz w:val="36"/>
          <w:szCs w:val="36"/>
        </w:rPr>
      </w:pPr>
    </w:p>
    <w:tbl>
      <w:tblPr>
        <w:tblStyle w:val="3"/>
        <w:tblW w:w="90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1"/>
        <w:gridCol w:w="6844"/>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autoSpaceDN w:val="0"/>
              <w:spacing w:line="330" w:lineRule="atLeast"/>
              <w:jc w:val="center"/>
              <w:rPr>
                <w:rFonts w:eastAsia="仿宋_GB2312"/>
                <w:sz w:val="28"/>
              </w:rPr>
            </w:pPr>
            <w:r>
              <w:rPr>
                <w:rFonts w:eastAsia="仿宋_GB2312"/>
                <w:b/>
                <w:sz w:val="28"/>
              </w:rPr>
              <w:t>考核项目</w:t>
            </w:r>
          </w:p>
        </w:tc>
        <w:tc>
          <w:tcPr>
            <w:tcW w:w="6844" w:type="dxa"/>
            <w:tcBorders>
              <w:top w:val="single" w:color="auto" w:sz="4" w:space="0"/>
              <w:left w:val="single" w:color="auto" w:sz="4" w:space="0"/>
              <w:bottom w:val="single" w:color="auto" w:sz="4" w:space="0"/>
              <w:right w:val="single" w:color="auto" w:sz="4" w:space="0"/>
            </w:tcBorders>
            <w:vAlign w:val="center"/>
          </w:tcPr>
          <w:p>
            <w:pPr>
              <w:autoSpaceDN w:val="0"/>
              <w:spacing w:line="330" w:lineRule="atLeast"/>
              <w:jc w:val="center"/>
              <w:rPr>
                <w:rFonts w:eastAsia="仿宋_GB2312"/>
                <w:sz w:val="28"/>
              </w:rPr>
            </w:pPr>
            <w:r>
              <w:rPr>
                <w:rFonts w:eastAsia="仿宋_GB2312"/>
                <w:b/>
                <w:sz w:val="28"/>
              </w:rPr>
              <w:t xml:space="preserve">考核内容 </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spacing w:line="330" w:lineRule="atLeast"/>
              <w:jc w:val="center"/>
              <w:rPr>
                <w:rFonts w:eastAsia="仿宋_GB2312"/>
                <w:sz w:val="28"/>
              </w:rPr>
            </w:pPr>
            <w:r>
              <w:rPr>
                <w:rFonts w:eastAsia="仿宋_GB2312"/>
                <w:b/>
                <w:sz w:val="28"/>
              </w:rPr>
              <w:t xml:space="preserve">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1381" w:type="dxa"/>
            <w:vMerge w:val="restart"/>
            <w:tcBorders>
              <w:top w:val="single" w:color="auto" w:sz="4" w:space="0"/>
              <w:left w:val="single" w:color="000000" w:sz="6" w:space="0"/>
              <w:right w:val="single" w:color="000000" w:sz="6" w:space="0"/>
            </w:tcBorders>
            <w:vAlign w:val="center"/>
          </w:tcPr>
          <w:p>
            <w:pPr>
              <w:autoSpaceDN w:val="0"/>
              <w:spacing w:line="330" w:lineRule="atLeast"/>
              <w:jc w:val="center"/>
              <w:rPr>
                <w:rFonts w:eastAsia="仿宋_GB2312"/>
                <w:b/>
              </w:rPr>
            </w:pPr>
            <w:r>
              <w:rPr>
                <w:rFonts w:eastAsia="仿宋_GB2312"/>
                <w:b/>
              </w:rPr>
              <w:t>组织领导</w:t>
            </w:r>
            <w:r>
              <w:rPr>
                <w:rFonts w:eastAsia="仿宋_GB2312"/>
                <w:b/>
              </w:rPr>
              <w:br w:type="textWrapping"/>
            </w:r>
            <w:r>
              <w:rPr>
                <w:rFonts w:eastAsia="仿宋_GB2312"/>
                <w:b/>
              </w:rPr>
              <w:t>（10分）</w:t>
            </w:r>
            <w:r>
              <w:rPr>
                <w:rFonts w:eastAsia="仿宋_GB2312"/>
                <w:b/>
              </w:rPr>
              <w:br w:type="textWrapping"/>
            </w:r>
          </w:p>
        </w:tc>
        <w:tc>
          <w:tcPr>
            <w:tcW w:w="6844" w:type="dxa"/>
            <w:tcBorders>
              <w:top w:val="single" w:color="auto" w:sz="4" w:space="0"/>
              <w:bottom w:val="single" w:color="000000" w:sz="6" w:space="0"/>
              <w:right w:val="single" w:color="000000" w:sz="6" w:space="0"/>
            </w:tcBorders>
            <w:vAlign w:val="center"/>
          </w:tcPr>
          <w:p>
            <w:pPr>
              <w:autoSpaceDN w:val="0"/>
              <w:spacing w:line="330" w:lineRule="atLeast"/>
              <w:rPr>
                <w:rFonts w:eastAsia="仿宋_GB2312"/>
                <w:b/>
              </w:rPr>
            </w:pPr>
            <w:r>
              <w:rPr>
                <w:rFonts w:eastAsia="仿宋_GB2312"/>
              </w:rPr>
              <w:t>企业工会机构健全、按时足额交纳工会经费，工会活动正常开展（3分），成立竞赛领导机构，主要领导任“安康杯”竞赛组委会主任（3分）。</w:t>
            </w:r>
          </w:p>
        </w:tc>
        <w:tc>
          <w:tcPr>
            <w:tcW w:w="780" w:type="dxa"/>
            <w:tcBorders>
              <w:top w:val="single" w:color="auto" w:sz="4" w:space="0"/>
              <w:bottom w:val="single" w:color="000000" w:sz="6" w:space="0"/>
              <w:right w:val="single" w:color="000000" w:sz="6" w:space="0"/>
            </w:tcBorders>
            <w:vAlign w:val="center"/>
          </w:tcPr>
          <w:p>
            <w:pPr>
              <w:autoSpaceDN w:val="0"/>
              <w:spacing w:line="330" w:lineRule="atLeast"/>
              <w:rPr>
                <w:rFonts w:eastAsia="仿宋_GB2312"/>
                <w:b/>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381" w:type="dxa"/>
            <w:vMerge w:val="continue"/>
            <w:tcBorders>
              <w:left w:val="single" w:color="000000" w:sz="6" w:space="0"/>
              <w:bottom w:val="single" w:color="000000" w:sz="6" w:space="0"/>
              <w:right w:val="single" w:color="000000" w:sz="6" w:space="0"/>
            </w:tcBorders>
            <w:vAlign w:val="center"/>
          </w:tcP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竞赛活动有计划、部署、方案、组织、检查、评比、表彰、奖励。（4分）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1381" w:type="dxa"/>
            <w:vMerge w:val="restart"/>
            <w:tcBorders>
              <w:left w:val="single" w:color="000000" w:sz="6" w:space="0"/>
              <w:right w:val="single" w:color="000000" w:sz="6" w:space="0"/>
            </w:tcBorders>
            <w:vAlign w:val="center"/>
          </w:tcPr>
          <w:p>
            <w:pPr>
              <w:autoSpaceDN w:val="0"/>
              <w:spacing w:line="330" w:lineRule="atLeast"/>
              <w:jc w:val="center"/>
              <w:rPr>
                <w:rFonts w:eastAsia="仿宋_GB2312"/>
              </w:rPr>
            </w:pPr>
            <w:r>
              <w:rPr>
                <w:rFonts w:eastAsia="仿宋_GB2312"/>
                <w:b/>
              </w:rPr>
              <w:t>组织开展安全生产法规学习、培训、教育、宣传（25分）</w:t>
            </w: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深入宣传习近平总书记关于安全生产的重要思想和《劳动法》《工会法》《安全生产法》《职业病防治法》《福建省安全生产条例》《中共福建省委 福建省人民政府印发&lt;关于推进安全生产领域改革发展的实施意见&gt;的通知》等相关法律和政策。（5分）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jc w:val="center"/>
        </w:trPr>
        <w:tc>
          <w:tcPr>
            <w:tcW w:w="1381" w:type="dxa"/>
            <w:vMerge w:val="continue"/>
            <w:tcBorders>
              <w:left w:val="single" w:color="000000" w:sz="6" w:space="0"/>
              <w:right w:val="single" w:color="000000" w:sz="6" w:space="0"/>
            </w:tcBorders>
            <w:vAlign w:val="center"/>
          </w:tcP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组织开展安全生产和职业健康业务知识培训。（3分）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jc w:val="center"/>
        </w:trPr>
        <w:tc>
          <w:tcPr>
            <w:tcW w:w="1381" w:type="dxa"/>
            <w:vMerge w:val="continue"/>
            <w:tcBorders>
              <w:left w:val="single" w:color="000000" w:sz="6" w:space="0"/>
              <w:right w:val="single" w:color="000000" w:sz="6" w:space="0"/>
            </w:tcBorders>
            <w:vAlign w:val="center"/>
          </w:tcP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把安全文化建设融入企业整体文化建设中，有针对性开展宣传培训、操作演练、亲情教育、警示教育等安全文化活动。（4分）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1381" w:type="dxa"/>
            <w:vMerge w:val="continue"/>
            <w:tcBorders>
              <w:left w:val="single" w:color="000000" w:sz="6" w:space="0"/>
              <w:right w:val="single" w:color="000000" w:sz="6" w:space="0"/>
            </w:tcBorders>
            <w:vAlign w:val="center"/>
          </w:tcP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建立安全卫生宣传教室或安全文化长廊，悬挂安全卫生警示牌、提示卡，张贴安全卫生宣传画、横幅、标语、警示语等。（3分）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jc w:val="center"/>
        </w:trPr>
        <w:tc>
          <w:tcPr>
            <w:tcW w:w="1381" w:type="dxa"/>
            <w:vMerge w:val="continue"/>
            <w:tcBorders>
              <w:left w:val="single" w:color="000000" w:sz="6" w:space="0"/>
              <w:right w:val="single" w:color="000000" w:sz="6" w:space="0"/>
            </w:tcBorders>
            <w:vAlign w:val="center"/>
          </w:tcP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积极参加全国“安全生产月”“安全生产万里行”“海西安全发展行”和《职业病防治法》《安全生产法》宣传周等活动。（3分）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jc w:val="center"/>
        </w:trPr>
        <w:tc>
          <w:tcPr>
            <w:tcW w:w="1381" w:type="dxa"/>
            <w:vMerge w:val="continue"/>
            <w:tcBorders>
              <w:left w:val="single" w:color="000000" w:sz="6" w:space="0"/>
              <w:bottom w:val="single" w:color="000000" w:sz="6" w:space="0"/>
              <w:right w:val="single" w:color="000000" w:sz="6" w:space="0"/>
            </w:tcBorders>
            <w:vAlign w:val="center"/>
          </w:tcPr>
          <w:p/>
        </w:tc>
        <w:tc>
          <w:tcPr>
            <w:tcW w:w="6844"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开展“十个一”安全文化活动中的5项（5分）、8项（8分）、10项（7分）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1381" w:type="dxa"/>
            <w:tcBorders>
              <w:left w:val="single" w:color="000000" w:sz="6" w:space="0"/>
              <w:bottom w:val="single" w:color="000000" w:sz="6" w:space="0"/>
              <w:right w:val="single" w:color="000000" w:sz="6" w:space="0"/>
            </w:tcBorders>
            <w:vAlign w:val="center"/>
          </w:tcPr>
          <w:p>
            <w:pPr>
              <w:autoSpaceDN w:val="0"/>
              <w:spacing w:line="330" w:lineRule="atLeast"/>
              <w:jc w:val="center"/>
              <w:rPr>
                <w:rFonts w:eastAsia="仿宋_GB2312"/>
                <w:b/>
              </w:rPr>
            </w:pPr>
            <w:r>
              <w:rPr>
                <w:rFonts w:eastAsia="仿宋_GB2312"/>
                <w:b/>
              </w:rPr>
              <w:t>班组安全</w:t>
            </w:r>
          </w:p>
          <w:p>
            <w:pPr>
              <w:autoSpaceDN w:val="0"/>
              <w:spacing w:line="330" w:lineRule="atLeast"/>
              <w:jc w:val="center"/>
              <w:rPr>
                <w:rFonts w:eastAsia="仿宋_GB2312"/>
              </w:rPr>
            </w:pPr>
            <w:r>
              <w:rPr>
                <w:rFonts w:eastAsia="仿宋_GB2312"/>
                <w:b/>
              </w:rPr>
              <w:t>建设（10分）</w:t>
            </w: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重视企业班组安全建设，通过班组日常教育和警示教育等，广泛开展班组安全宣传教育活动（6分），组织开展班组安全技能培训、安全生产合理化建议、安全管理优秀成果展示等班组安全文化活动（4分）。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1381" w:type="dxa"/>
            <w:vMerge w:val="restart"/>
            <w:tcBorders>
              <w:left w:val="single" w:color="000000" w:sz="6" w:space="0"/>
              <w:right w:val="single" w:color="000000" w:sz="6" w:space="0"/>
            </w:tcBorders>
            <w:vAlign w:val="center"/>
          </w:tcPr>
          <w:p>
            <w:pPr>
              <w:autoSpaceDN w:val="0"/>
              <w:spacing w:line="330" w:lineRule="atLeast"/>
              <w:jc w:val="center"/>
              <w:rPr>
                <w:rFonts w:eastAsia="仿宋_GB2312"/>
                <w:b/>
              </w:rPr>
            </w:pPr>
            <w:r>
              <w:rPr>
                <w:rFonts w:eastAsia="仿宋_GB2312"/>
                <w:b/>
              </w:rPr>
              <w:t>安全管理</w:t>
            </w:r>
          </w:p>
          <w:p>
            <w:pPr>
              <w:autoSpaceDN w:val="0"/>
              <w:spacing w:line="330" w:lineRule="atLeast"/>
              <w:jc w:val="center"/>
              <w:rPr>
                <w:rFonts w:eastAsia="仿宋_GB2312"/>
              </w:rPr>
            </w:pPr>
            <w:r>
              <w:rPr>
                <w:rFonts w:eastAsia="仿宋_GB2312"/>
                <w:b/>
              </w:rPr>
              <w:t>（20分）</w:t>
            </w: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 xml:space="preserve">安全生产管理机构健全，有专、兼职安全人员并形成网络（2分），国有大中型企业和规模以上企业要建立由董事长或总经理任主任的安委会，定期向董事会报告安全生产和职业健康工作情况（2分），安全生产管理有计划，有具体实施方案（2分）。 </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1381" w:type="dxa"/>
            <w:vMerge w:val="continue"/>
            <w:tcBorders>
              <w:left w:val="single" w:color="000000" w:sz="6" w:space="0"/>
              <w:right w:val="single" w:color="000000" w:sz="6" w:space="0"/>
            </w:tcBorders>
            <w:vAlign w:val="center"/>
          </w:tcP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建立全员安全生产责任制度（2分），明确各岗位安全生产职责（2分），建立教育培训档案和安全生产责任制管理考核制度（2分)，健全激励约束机制，激发全员参与安全生产工作的积极性和主动性(2分）。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1381" w:type="dxa"/>
            <w:vMerge w:val="continue"/>
            <w:tcBorders>
              <w:left w:val="single" w:color="000000" w:sz="6" w:space="0"/>
              <w:right w:val="single" w:color="000000" w:sz="6" w:space="0"/>
            </w:tcBorders>
            <w:vAlign w:val="center"/>
          </w:tcP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 xml:space="preserve">把劳动安全卫生条款列入平等协商、签订集体合同内容并严格执行（属高危行业必须签订劳动安全卫生专项集体合同）（2分）。 </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1381" w:type="dxa"/>
            <w:vMerge w:val="continue"/>
            <w:tcBorders>
              <w:left w:val="single" w:color="000000" w:sz="6" w:space="0"/>
              <w:right w:val="single" w:color="000000" w:sz="6" w:space="0"/>
            </w:tcBorders>
            <w:vAlign w:val="center"/>
          </w:tcPr>
          <w:p/>
        </w:tc>
        <w:tc>
          <w:tcPr>
            <w:tcW w:w="6844" w:type="dxa"/>
            <w:tcBorders>
              <w:bottom w:val="single" w:color="000000" w:sz="6" w:space="0"/>
              <w:right w:val="single" w:color="000000" w:sz="6" w:space="0"/>
            </w:tcBorders>
            <w:vAlign w:val="center"/>
          </w:tcPr>
          <w:p>
            <w:pPr>
              <w:autoSpaceDN w:val="0"/>
              <w:spacing w:line="330" w:lineRule="atLeast"/>
              <w:rPr>
                <w:rFonts w:eastAsia="仿宋_GB2312"/>
                <w:sz w:val="18"/>
              </w:rPr>
            </w:pPr>
            <w:r>
              <w:rPr>
                <w:rFonts w:eastAsia="仿宋_GB2312"/>
              </w:rPr>
              <w:t xml:space="preserve">个人劳动防护用品符合标准，配备齐全，并按规定严格检查（1分）。 </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1381" w:type="dxa"/>
            <w:vMerge w:val="continue"/>
            <w:tcBorders>
              <w:left w:val="single" w:color="000000" w:sz="6" w:space="0"/>
              <w:bottom w:val="single" w:color="000000" w:sz="6" w:space="0"/>
              <w:right w:val="single" w:color="000000" w:sz="6" w:space="0"/>
            </w:tcBorders>
            <w:vAlign w:val="center"/>
          </w:tcPr>
          <w:p/>
        </w:tc>
        <w:tc>
          <w:tcPr>
            <w:tcW w:w="6844"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安全装置齐全有效，设备完好率100％（1分）， 消防设备与器材齐全，有专人负责，定期检查和保养（1分）。做好夏季防暑降温工作。（1分）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bl>
    <w:p>
      <w:pPr>
        <w:rPr>
          <w:rFonts w:hint="eastAsia"/>
        </w:rPr>
      </w:pPr>
    </w:p>
    <w:p>
      <w:pPr>
        <w:rPr>
          <w:rFonts w:hint="eastAsia"/>
        </w:rPr>
      </w:pPr>
    </w:p>
    <w:tbl>
      <w:tblPr>
        <w:tblStyle w:val="3"/>
        <w:tblW w:w="879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1"/>
        <w:gridCol w:w="663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381" w:type="dxa"/>
            <w:tcBorders>
              <w:top w:val="single" w:color="000000" w:sz="6" w:space="0"/>
              <w:left w:val="single" w:color="000000" w:sz="6" w:space="0"/>
              <w:bottom w:val="single" w:color="000000" w:sz="6" w:space="0"/>
              <w:right w:val="single" w:color="000000" w:sz="6" w:space="0"/>
            </w:tcBorders>
            <w:vAlign w:val="center"/>
          </w:tcPr>
          <w:p>
            <w:pPr>
              <w:autoSpaceDN w:val="0"/>
              <w:spacing w:line="330" w:lineRule="atLeast"/>
              <w:jc w:val="center"/>
              <w:rPr>
                <w:rFonts w:eastAsia="仿宋_GB2312"/>
                <w:b/>
                <w:sz w:val="28"/>
              </w:rPr>
            </w:pPr>
            <w:r>
              <w:rPr>
                <w:rFonts w:eastAsia="仿宋_GB2312"/>
                <w:b/>
                <w:sz w:val="28"/>
              </w:rPr>
              <w:t>考核项目</w:t>
            </w:r>
          </w:p>
        </w:tc>
        <w:tc>
          <w:tcPr>
            <w:tcW w:w="6630" w:type="dxa"/>
            <w:tcBorders>
              <w:top w:val="single" w:color="000000" w:sz="6" w:space="0"/>
              <w:left w:val="single" w:color="000000" w:sz="6" w:space="0"/>
              <w:bottom w:val="single" w:color="000000" w:sz="6" w:space="0"/>
              <w:right w:val="single" w:color="000000" w:sz="6" w:space="0"/>
            </w:tcBorders>
            <w:vAlign w:val="center"/>
          </w:tcPr>
          <w:p>
            <w:pPr>
              <w:autoSpaceDN w:val="0"/>
              <w:spacing w:line="330" w:lineRule="atLeast"/>
              <w:jc w:val="center"/>
              <w:rPr>
                <w:rFonts w:eastAsia="仿宋_GB2312"/>
                <w:b/>
                <w:sz w:val="28"/>
              </w:rPr>
            </w:pPr>
            <w:r>
              <w:rPr>
                <w:rFonts w:eastAsia="仿宋_GB2312"/>
                <w:b/>
                <w:sz w:val="28"/>
              </w:rPr>
              <w:t xml:space="preserve">考核内容 </w:t>
            </w:r>
          </w:p>
        </w:tc>
        <w:tc>
          <w:tcPr>
            <w:tcW w:w="780" w:type="dxa"/>
            <w:tcBorders>
              <w:top w:val="single" w:color="000000" w:sz="6" w:space="0"/>
              <w:left w:val="single" w:color="000000" w:sz="6" w:space="0"/>
              <w:bottom w:val="single" w:color="000000" w:sz="6" w:space="0"/>
              <w:right w:val="single" w:color="000000" w:sz="6" w:space="0"/>
            </w:tcBorders>
            <w:vAlign w:val="center"/>
          </w:tcPr>
          <w:p>
            <w:pPr>
              <w:autoSpaceDN w:val="0"/>
              <w:spacing w:line="330" w:lineRule="atLeast"/>
              <w:jc w:val="center"/>
              <w:rPr>
                <w:rFonts w:eastAsia="仿宋_GB2312"/>
                <w:b/>
                <w:sz w:val="28"/>
              </w:rPr>
            </w:pPr>
            <w:r>
              <w:rPr>
                <w:rFonts w:eastAsia="仿宋_GB2312"/>
                <w:b/>
                <w:sz w:val="28"/>
              </w:rPr>
              <w:t xml:space="preserve">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381" w:type="dxa"/>
            <w:vMerge w:val="restart"/>
            <w:tcBorders>
              <w:top w:val="single" w:color="000000" w:sz="6" w:space="0"/>
              <w:left w:val="single" w:color="000000" w:sz="6" w:space="0"/>
              <w:right w:val="single" w:color="000000" w:sz="6" w:space="0"/>
            </w:tcBorders>
            <w:vAlign w:val="center"/>
          </w:tcPr>
          <w:p>
            <w:pPr>
              <w:autoSpaceDN w:val="0"/>
              <w:spacing w:line="330" w:lineRule="atLeast"/>
              <w:jc w:val="center"/>
              <w:rPr>
                <w:rFonts w:eastAsia="仿宋_GB2312"/>
                <w:b/>
              </w:rPr>
            </w:pPr>
            <w:r>
              <w:rPr>
                <w:rFonts w:eastAsia="仿宋_GB2312"/>
                <w:b/>
              </w:rPr>
              <w:t>群众监督</w:t>
            </w:r>
          </w:p>
          <w:p>
            <w:pPr>
              <w:autoSpaceDN w:val="0"/>
              <w:spacing w:line="330" w:lineRule="atLeast"/>
              <w:jc w:val="center"/>
              <w:rPr>
                <w:rFonts w:eastAsia="仿宋_GB2312"/>
              </w:rPr>
            </w:pPr>
            <w:r>
              <w:rPr>
                <w:rFonts w:eastAsia="仿宋_GB2312"/>
                <w:b/>
              </w:rPr>
              <w:t>（35分）</w:t>
            </w:r>
          </w:p>
        </w:tc>
        <w:tc>
          <w:tcPr>
            <w:tcW w:w="6630" w:type="dxa"/>
            <w:tcBorders>
              <w:top w:val="single" w:color="000000" w:sz="6" w:space="0"/>
              <w:left w:val="single" w:color="000000" w:sz="6" w:space="0"/>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xml:space="preserve">认真贯彻工会劳动保护监督检查“三个条例”，健全三级工会劳动保护监督检查网络，加强工会劳动保护监督检查员考核及管理。（5分） </w:t>
            </w:r>
          </w:p>
        </w:tc>
        <w:tc>
          <w:tcPr>
            <w:tcW w:w="780" w:type="dxa"/>
            <w:tcBorders>
              <w:top w:val="single" w:color="000000" w:sz="6" w:space="0"/>
              <w:left w:val="single" w:color="000000" w:sz="6" w:space="0"/>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381" w:type="dxa"/>
            <w:vMerge w:val="continue"/>
            <w:tcBorders>
              <w:left w:val="single" w:color="000000" w:sz="6" w:space="0"/>
              <w:right w:val="single" w:color="000000" w:sz="6" w:space="0"/>
            </w:tcBorders>
            <w:vAlign w:val="center"/>
          </w:tcPr>
          <w:p/>
        </w:tc>
        <w:tc>
          <w:tcPr>
            <w:tcW w:w="6630" w:type="dxa"/>
            <w:tcBorders>
              <w:top w:val="single" w:color="000000" w:sz="6" w:space="0"/>
              <w:left w:val="single" w:color="000000" w:sz="6" w:space="0"/>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制定隐患排查制度，开展经常性的事故隐患和职业病危害源点排查，进行分级管理，及时整改并建立台账（3分），建立企业重大隐患治理情况向负有安全生产监督管理职责的部门和企业职代会“双报告”制度（2分）。</w:t>
            </w:r>
          </w:p>
        </w:tc>
        <w:tc>
          <w:tcPr>
            <w:tcW w:w="780" w:type="dxa"/>
            <w:tcBorders>
              <w:top w:val="single" w:color="000000" w:sz="6" w:space="0"/>
              <w:left w:val="single" w:color="000000" w:sz="6" w:space="0"/>
              <w:bottom w:val="single" w:color="000000" w:sz="6" w:space="0"/>
              <w:right w:val="single" w:color="000000" w:sz="6" w:space="0"/>
            </w:tcBorders>
            <w:vAlign w:val="center"/>
          </w:tcPr>
          <w:p>
            <w:pPr>
              <w:autoSpaceDN w:val="0"/>
              <w:spacing w:line="33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1381" w:type="dxa"/>
            <w:vMerge w:val="continue"/>
            <w:tcBorders>
              <w:left w:val="single" w:color="000000" w:sz="6" w:space="0"/>
              <w:right w:val="single" w:color="000000" w:sz="6" w:space="0"/>
            </w:tcBorders>
            <w:vAlign w:val="center"/>
          </w:tcPr>
          <w:p/>
        </w:tc>
        <w:tc>
          <w:tcPr>
            <w:tcW w:w="6630" w:type="dxa"/>
            <w:tcBorders>
              <w:top w:val="single" w:color="000000" w:sz="6" w:space="0"/>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积极配合公安消防（1分）及交管部门（1分）做好职工的消防及交通安全教育和管理。企业职工没有发生过严重违章事故（3分）。</w:t>
            </w:r>
          </w:p>
        </w:tc>
        <w:tc>
          <w:tcPr>
            <w:tcW w:w="780" w:type="dxa"/>
            <w:tcBorders>
              <w:top w:val="single" w:color="000000" w:sz="6" w:space="0"/>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381" w:type="dxa"/>
            <w:vMerge w:val="continue"/>
            <w:tcBorders>
              <w:left w:val="single" w:color="000000" w:sz="6" w:space="0"/>
              <w:right w:val="single" w:color="000000" w:sz="6" w:space="0"/>
            </w:tcBorders>
            <w:vAlign w:val="center"/>
          </w:tcPr>
          <w:p/>
        </w:tc>
        <w:tc>
          <w:tcPr>
            <w:tcW w:w="663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重视职业病防治工作，开展群众性职业卫生监督检查活动。（3分）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381" w:type="dxa"/>
            <w:vMerge w:val="continue"/>
            <w:tcBorders>
              <w:left w:val="single" w:color="000000" w:sz="6" w:space="0"/>
              <w:right w:val="single" w:color="000000" w:sz="6" w:space="0"/>
            </w:tcBorders>
            <w:vAlign w:val="center"/>
          </w:tcPr>
          <w:p/>
        </w:tc>
        <w:tc>
          <w:tcPr>
            <w:tcW w:w="663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重视女工劳动保护，认真做好女职工“四期”保护。（2分）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381" w:type="dxa"/>
            <w:vMerge w:val="continue"/>
            <w:tcBorders>
              <w:left w:val="single" w:color="000000" w:sz="6" w:space="0"/>
              <w:right w:val="single" w:color="000000" w:sz="6" w:space="0"/>
            </w:tcBorders>
            <w:vAlign w:val="center"/>
          </w:tcPr>
          <w:p/>
        </w:tc>
        <w:tc>
          <w:tcPr>
            <w:tcW w:w="663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定期组织职工职业健康体检（2分），建立健全职工职业健康档案（2分）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381" w:type="dxa"/>
            <w:vMerge w:val="continue"/>
            <w:tcBorders>
              <w:left w:val="single" w:color="000000" w:sz="6" w:space="0"/>
              <w:right w:val="single" w:color="000000" w:sz="6" w:space="0"/>
            </w:tcBorders>
            <w:vAlign w:val="center"/>
          </w:tcPr>
          <w:p/>
        </w:tc>
        <w:tc>
          <w:tcPr>
            <w:tcW w:w="663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组织开展“十个一”活动（4分）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381" w:type="dxa"/>
            <w:vMerge w:val="continue"/>
            <w:tcBorders>
              <w:left w:val="single" w:color="000000" w:sz="6" w:space="0"/>
              <w:bottom w:val="single" w:color="000000" w:sz="6" w:space="0"/>
              <w:right w:val="single" w:color="000000" w:sz="6" w:space="0"/>
            </w:tcBorders>
            <w:vAlign w:val="center"/>
          </w:tcPr>
          <w:p/>
        </w:tc>
        <w:tc>
          <w:tcPr>
            <w:tcW w:w="663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推广运用“一法三卡”工作：建立领导小组（1分），组织职工开展反“三违”查隐患活动（2分），对事故隐患和危险源点评估、建档（2分），制作并在工作场所悬挂安全检查提示卡、有毒有害化学物质信息卡、危险源点警示卡等2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381" w:type="dxa"/>
            <w:tcBorders>
              <w:left w:val="single" w:color="000000" w:sz="6" w:space="0"/>
              <w:bottom w:val="single" w:color="000000" w:sz="6" w:space="0"/>
              <w:right w:val="single" w:color="000000" w:sz="6" w:space="0"/>
            </w:tcBorders>
            <w:vAlign w:val="center"/>
          </w:tcPr>
          <w:p>
            <w:pPr>
              <w:autoSpaceDN w:val="0"/>
              <w:spacing w:line="330" w:lineRule="atLeast"/>
              <w:jc w:val="center"/>
              <w:rPr>
                <w:rFonts w:eastAsia="仿宋_GB2312"/>
                <w:b/>
              </w:rPr>
            </w:pPr>
            <w:r>
              <w:rPr>
                <w:rFonts w:eastAsia="仿宋_GB2312"/>
                <w:b/>
              </w:rPr>
              <w:t>*组织宣传</w:t>
            </w:r>
          </w:p>
          <w:p>
            <w:pPr>
              <w:autoSpaceDN w:val="0"/>
              <w:spacing w:line="330" w:lineRule="atLeast"/>
              <w:jc w:val="center"/>
              <w:rPr>
                <w:rFonts w:eastAsia="仿宋_GB2312"/>
                <w:b/>
              </w:rPr>
            </w:pPr>
            <w:r>
              <w:rPr>
                <w:rFonts w:eastAsia="仿宋_GB2312"/>
                <w:b/>
              </w:rPr>
              <w:t>（10分）</w:t>
            </w:r>
          </w:p>
        </w:tc>
        <w:tc>
          <w:tcPr>
            <w:tcW w:w="6630" w:type="dxa"/>
            <w:tcBorders>
              <w:bottom w:val="single" w:color="000000" w:sz="6" w:space="0"/>
              <w:right w:val="single" w:color="000000" w:sz="6" w:space="0"/>
            </w:tcBorders>
            <w:vAlign w:val="center"/>
          </w:tcPr>
          <w:p>
            <w:pPr>
              <w:autoSpaceDN w:val="0"/>
              <w:spacing w:line="330" w:lineRule="atLeast"/>
              <w:rPr>
                <w:rFonts w:eastAsia="仿宋_GB2312"/>
              </w:rPr>
            </w:pPr>
            <w:r>
              <w:rPr>
                <w:rFonts w:eastAsia="仿宋_GB2312"/>
              </w:rPr>
              <w:t>组织开展省级“安康杯”知识竞赛活动进地方卫视。（10分）</w:t>
            </w: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381" w:type="dxa"/>
            <w:tcBorders>
              <w:left w:val="single" w:color="000000" w:sz="6" w:space="0"/>
              <w:bottom w:val="single" w:color="000000" w:sz="6" w:space="0"/>
              <w:right w:val="single" w:color="000000" w:sz="6" w:space="0"/>
            </w:tcBorders>
            <w:vAlign w:val="center"/>
          </w:tcPr>
          <w:p>
            <w:pPr>
              <w:autoSpaceDN w:val="0"/>
              <w:spacing w:line="330" w:lineRule="atLeast"/>
              <w:jc w:val="center"/>
              <w:rPr>
                <w:rFonts w:eastAsia="仿宋_GB2312"/>
                <w:b/>
              </w:rPr>
            </w:pPr>
            <w:r>
              <w:rPr>
                <w:rFonts w:eastAsia="仿宋_GB2312"/>
                <w:b/>
              </w:rPr>
              <w:t>总 得 分</w:t>
            </w:r>
          </w:p>
        </w:tc>
        <w:tc>
          <w:tcPr>
            <w:tcW w:w="6630" w:type="dxa"/>
            <w:tcBorders>
              <w:bottom w:val="single" w:color="000000" w:sz="6" w:space="0"/>
              <w:right w:val="single" w:color="000000" w:sz="6" w:space="0"/>
            </w:tcBorders>
            <w:vAlign w:val="center"/>
          </w:tcPr>
          <w:p>
            <w:pPr>
              <w:autoSpaceDN w:val="0"/>
              <w:spacing w:line="330" w:lineRule="atLeast"/>
              <w:rPr>
                <w:rFonts w:eastAsia="仿宋_GB2312"/>
              </w:rPr>
            </w:pPr>
          </w:p>
        </w:tc>
        <w:tc>
          <w:tcPr>
            <w:tcW w:w="780" w:type="dxa"/>
            <w:tcBorders>
              <w:bottom w:val="single" w:color="000000" w:sz="6" w:space="0"/>
              <w:right w:val="single" w:color="000000" w:sz="6" w:space="0"/>
            </w:tcBorders>
            <w:vAlign w:val="center"/>
          </w:tcPr>
          <w:p>
            <w:pPr>
              <w:autoSpaceDN w:val="0"/>
              <w:spacing w:line="330" w:lineRule="atLeast"/>
              <w:rPr>
                <w:rFonts w:eastAsia="仿宋_GB2312"/>
              </w:rPr>
            </w:pPr>
          </w:p>
        </w:tc>
      </w:tr>
    </w:tbl>
    <w:p>
      <w:pPr>
        <w:autoSpaceDN w:val="0"/>
        <w:spacing w:line="330" w:lineRule="atLeast"/>
        <w:rPr>
          <w:rFonts w:hint="eastAsia" w:ascii="仿宋_GB2312" w:eastAsia="仿宋_GB2312"/>
          <w:b/>
        </w:rPr>
      </w:pPr>
      <w:r>
        <w:rPr>
          <w:rFonts w:hint="eastAsia" w:ascii="仿宋_GB2312" w:eastAsia="仿宋_GB2312"/>
          <w:b/>
        </w:rPr>
        <w:t xml:space="preserve"> </w:t>
      </w:r>
    </w:p>
    <w:p>
      <w:pPr>
        <w:autoSpaceDN w:val="0"/>
        <w:spacing w:line="330" w:lineRule="atLeast"/>
        <w:rPr>
          <w:rFonts w:hint="eastAsia" w:ascii="仿宋_GB2312" w:eastAsia="仿宋_GB2312"/>
          <w:b/>
          <w:sz w:val="24"/>
        </w:rPr>
      </w:pPr>
      <w:r>
        <w:rPr>
          <w:rFonts w:hint="eastAsia" w:ascii="仿宋_GB2312" w:eastAsia="仿宋_GB2312"/>
          <w:b/>
          <w:sz w:val="24"/>
        </w:rPr>
        <w:t>备注：</w:t>
      </w:r>
    </w:p>
    <w:p>
      <w:pPr>
        <w:autoSpaceDN w:val="0"/>
        <w:spacing w:line="330" w:lineRule="atLeast"/>
        <w:ind w:firstLine="480" w:firstLineChars="200"/>
        <w:rPr>
          <w:rFonts w:hint="eastAsia" w:ascii="仿宋_GB2312" w:eastAsia="仿宋_GB2312"/>
          <w:sz w:val="24"/>
        </w:rPr>
      </w:pPr>
      <w:r>
        <w:rPr>
          <w:rFonts w:hint="eastAsia" w:ascii="仿宋_GB2312" w:eastAsia="仿宋_GB2312"/>
          <w:sz w:val="24"/>
        </w:rPr>
        <w:t>（1）参赛企业本年度发生1人以上死亡事故、重大职业中毒事故、重大火灾事故和未开展职业健康基础建设达标活动的实行一票否决。</w:t>
      </w:r>
    </w:p>
    <w:p>
      <w:pPr>
        <w:autoSpaceDN w:val="0"/>
        <w:spacing w:line="330" w:lineRule="atLeast"/>
        <w:ind w:firstLine="480" w:firstLineChars="200"/>
        <w:rPr>
          <w:rFonts w:hint="eastAsia" w:ascii="仿宋_GB2312" w:eastAsia="仿宋_GB2312"/>
          <w:sz w:val="24"/>
        </w:rPr>
      </w:pPr>
      <w:r>
        <w:rPr>
          <w:rFonts w:hint="eastAsia" w:ascii="仿宋_GB2312" w:eastAsia="仿宋_GB2312"/>
          <w:sz w:val="24"/>
        </w:rPr>
        <w:t>（2）“十个一”活动参考内容：读一本安全生产知识的书；提一条安全生产建议；查一起事故隐患或违章行为；写一条安全生产体会；做一件预防事故的实事；看一场安全生产录像或电影；接受一次安全知识培训；忆一次事故教训；当一天安全检查员； 开展一次安全生产签名活动。</w:t>
      </w:r>
    </w:p>
    <w:p>
      <w:pPr>
        <w:autoSpaceDN w:val="0"/>
        <w:spacing w:line="330" w:lineRule="atLeast"/>
        <w:ind w:firstLine="480" w:firstLineChars="200"/>
        <w:rPr>
          <w:rFonts w:hint="eastAsia" w:ascii="仿宋_GB2312" w:eastAsia="仿宋_GB2312"/>
          <w:sz w:val="24"/>
        </w:rPr>
      </w:pPr>
      <w:r>
        <w:rPr>
          <w:rFonts w:hint="eastAsia" w:ascii="仿宋_GB2312" w:eastAsia="仿宋_GB2312"/>
          <w:sz w:val="24"/>
        </w:rPr>
        <w:t>（3）*为额外得分项</w:t>
      </w:r>
    </w:p>
    <w:p>
      <w:r>
        <w:rPr>
          <w:rFonts w:hint="eastAsia" w:ascii="黑体" w:eastAsia="黑体"/>
          <w:sz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A37A4"/>
    <w:rsid w:val="5A5A37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2018-04-26T02:44:00Z</dcterms:created>
  <dc:creator>Administrator</dc:creator>
  <cp:lastModifiedBy>Administrator</cp:lastModifiedBy>
  <dcterms:modified xsi:type="dcterms:W3CDTF">2018-04-26T02:45:02Z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